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Why was the Library closed Monday?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i w:val="1"/>
          <w:iCs w:val="1"/>
          <w:rtl w:val="0"/>
        </w:rPr>
        <w:t xml:space="preserve">The library was closed Monday because there were threats on social media directed at a library employee, and we needed time to make a safety plan.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heard the Library hired a sex offender.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i w:val="1"/>
          <w:iCs w:val="1"/>
          <w:rtl w:val="0"/>
        </w:rPr>
        <w:t xml:space="preserve">The library checks all hires against the New York State sex offender registry. Given the nature of library work, under New York law a registered sex offender would be ineligible to work at the Library.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heard the Library hired a person with a criminal background.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iCs w:val="1"/>
        </w:rPr>
      </w:pPr>
      <w:r w:rsidDel="00000000" w:rsidR="00000000" w:rsidRPr="00000000">
        <w:rPr>
          <w:i w:val="1"/>
          <w:iCs w:val="1"/>
          <w:rtl w:val="0"/>
        </w:rPr>
        <w:t xml:space="preserve">In New York it is public policy to employ people with a criminal background once they have paid their debt to society. In New York, it is also against the law to deny someone employment simply because they have a criminal background.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Under what circumstances would a person with a criminal background not be able to be employed?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i w:val="1"/>
          <w:iCs w:val="1"/>
        </w:rPr>
      </w:pPr>
      <w:r w:rsidDel="00000000" w:rsidR="00000000" w:rsidRPr="00000000">
        <w:rPr>
          <w:i w:val="1"/>
          <w:iCs w:val="1"/>
          <w:rtl w:val="0"/>
        </w:rPr>
        <w:t xml:space="preserve">If the library discovered that the convictions were incompatible with the level of access and job duties, employment could be denied or terminated. </w:t>
      </w:r>
    </w:p>
    <w:p w:rsidR="00000000" w:rsidDel="00000000" w:rsidP="00000000" w:rsidRDefault="00000000" w:rsidRPr="00000000" w14:paraId="00000010">
      <w:pPr>
        <w:rPr>
          <w:i w:val="1"/>
          <w:iCs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How does the Library determine whether a criminal background is "incompatible" with a job at the Library?</w:t>
      </w:r>
    </w:p>
    <w:p w:rsidR="00000000" w:rsidDel="00000000" w:rsidP="00000000" w:rsidRDefault="00000000" w:rsidRPr="00000000" w14:paraId="00000012">
      <w:pPr>
        <w:rPr>
          <w:i w:val="1"/>
          <w:iCs w:val="1"/>
        </w:rPr>
      </w:pP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i w:val="1"/>
          <w:iCs w:val="1"/>
          <w:rtl w:val="0"/>
        </w:rPr>
        <w:t xml:space="preserve">Through an analysis controlled by Section 753 of the NY Correction Law (copy below FAQ). It requires considering the type of convictions, the person's age at the time they were committed, the relationship of the criminal acts to job duties, and other factors.</w:t>
      </w:r>
    </w:p>
    <w:p w:rsidR="00000000" w:rsidDel="00000000" w:rsidP="00000000" w:rsidRDefault="00000000" w:rsidRPr="00000000" w14:paraId="00000014">
      <w:pPr>
        <w:rPr>
          <w:i w:val="1"/>
          <w:iCs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Doesn't the library do complete criminal background checks for ALL employees?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i w:val="1"/>
          <w:iCs w:val="1"/>
          <w:rtl w:val="0"/>
        </w:rPr>
        <w:t xml:space="preserve">That has not been our policy in the past. The board will be adopting such a policy going forward. It is an expense we will have to budget for.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Is the person of concern still employed at the library?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iCs w:val="1"/>
        </w:rPr>
      </w:pPr>
      <w:r w:rsidDel="00000000" w:rsidR="00000000" w:rsidRPr="00000000">
        <w:rPr>
          <w:i w:val="1"/>
          <w:iCs w:val="1"/>
          <w:rtl w:val="0"/>
        </w:rPr>
        <w:t xml:space="preserve">No.  The Library took immediate action after carefully confirming certain facts.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Were there any complaints about this former employee's behavior or work?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i w:val="1"/>
          <w:iCs w:val="1"/>
          <w:rtl w:val="0"/>
        </w:rPr>
        <w:t xml:space="preserve">No</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Will the Library take further action?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i w:val="1"/>
          <w:iCs w:val="1"/>
        </w:rPr>
      </w:pPr>
      <w:r w:rsidDel="00000000" w:rsidR="00000000" w:rsidRPr="00000000">
        <w:rPr>
          <w:i w:val="1"/>
          <w:iCs w:val="1"/>
          <w:rtl w:val="0"/>
        </w:rPr>
        <w:t xml:space="preserve">We are formally implementing a background check policy and budget line at our next regular meeting.  Any hires prior to that will also be per this new policy.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Did the comments from the public impact how the Library handled this?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iCs w:val="1"/>
        </w:rPr>
      </w:pPr>
      <w:r w:rsidDel="00000000" w:rsidR="00000000" w:rsidRPr="00000000">
        <w:rPr>
          <w:i w:val="1"/>
          <w:iCs w:val="1"/>
          <w:rtl w:val="0"/>
        </w:rPr>
        <w:t xml:space="preserve">The Library regards comments from the public as vital input and always welcomes them.  When a concern is brought to our attention, we review it, investigate it if needed, and take appropriate action.  </w:t>
      </w:r>
    </w:p>
    <w:p w:rsidR="00000000" w:rsidDel="00000000" w:rsidP="00000000" w:rsidRDefault="00000000" w:rsidRPr="00000000" w14:paraId="00000028">
      <w:pPr>
        <w:rPr>
          <w:i w:val="1"/>
          <w:iCs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How does the Library deal with threats and harassment of employees?</w:t>
      </w:r>
    </w:p>
    <w:p w:rsidR="00000000" w:rsidDel="00000000" w:rsidP="00000000" w:rsidRDefault="00000000" w:rsidRPr="00000000" w14:paraId="0000002A">
      <w:pPr>
        <w:rPr>
          <w:i w:val="1"/>
          <w:iCs w:val="1"/>
        </w:rPr>
      </w:pPr>
      <w:r w:rsidDel="00000000" w:rsidR="00000000" w:rsidRPr="00000000">
        <w:rPr>
          <w:rtl w:val="0"/>
        </w:rPr>
      </w:r>
    </w:p>
    <w:p w:rsidR="00000000" w:rsidDel="00000000" w:rsidP="00000000" w:rsidRDefault="00000000" w:rsidRPr="00000000" w14:paraId="0000002B">
      <w:pPr>
        <w:rPr>
          <w:i w:val="1"/>
          <w:iCs w:val="1"/>
        </w:rPr>
      </w:pPr>
      <w:r w:rsidDel="00000000" w:rsidR="00000000" w:rsidRPr="00000000">
        <w:rPr>
          <w:i w:val="1"/>
          <w:iCs w:val="1"/>
          <w:rtl w:val="0"/>
        </w:rPr>
        <w:t xml:space="preserve">The Library welcomes questions, comments and constructive criticism but will not tolerate threats, harassment, and attempts at intimidation.  We require all people at the Library to abide by the Code of Conduct. We require our employees to be treated with respect.</w:t>
      </w:r>
    </w:p>
    <w:p w:rsidR="00000000" w:rsidDel="00000000" w:rsidP="00000000" w:rsidRDefault="00000000" w:rsidRPr="00000000" w14:paraId="0000002C">
      <w:pPr>
        <w:rPr>
          <w:i w:val="1"/>
          <w:iCs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is the Board's overall position on this situation?</w:t>
      </w:r>
    </w:p>
    <w:p w:rsidR="00000000" w:rsidDel="00000000" w:rsidP="00000000" w:rsidRDefault="00000000" w:rsidRPr="00000000" w14:paraId="0000002E">
      <w:pPr>
        <w:rPr>
          <w:i w:val="1"/>
          <w:iCs w:val="1"/>
        </w:rPr>
      </w:pPr>
      <w:r w:rsidDel="00000000" w:rsidR="00000000" w:rsidRPr="00000000">
        <w:rPr>
          <w:rtl w:val="0"/>
        </w:rPr>
      </w:r>
    </w:p>
    <w:p w:rsidR="00000000" w:rsidDel="00000000" w:rsidP="00000000" w:rsidRDefault="00000000" w:rsidRPr="00000000" w14:paraId="0000002F">
      <w:pPr>
        <w:rPr>
          <w:i w:val="1"/>
          <w:iCs w:val="1"/>
        </w:rPr>
      </w:pPr>
      <w:r w:rsidDel="00000000" w:rsidR="00000000" w:rsidRPr="00000000">
        <w:rPr>
          <w:i w:val="1"/>
          <w:iCs w:val="1"/>
          <w:rtl w:val="0"/>
        </w:rPr>
        <w:t xml:space="preserve">The Board takes its fiduciary duty to serve the Library and the Gloversville community seriously.  If routine Library policy and practices allowed a concern to develop, the Board will fix that.  If there are things to be learned, we will learn them and move forward with our mission.</w:t>
      </w:r>
    </w:p>
    <w:p w:rsidR="00000000" w:rsidDel="00000000" w:rsidP="00000000" w:rsidRDefault="00000000" w:rsidRPr="00000000" w14:paraId="00000030">
      <w:pPr>
        <w:rPr>
          <w:rFonts w:ascii="Times New Roman" w:cs="Times New Roman" w:eastAsia="Times New Roman" w:hAnsi="Times New Roman"/>
          <w:b w:val="1"/>
          <w:bCs w:val="1"/>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280" w:before="28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New York State Law concerning employment of people with previous convictions</w:t>
      </w:r>
    </w:p>
    <w:p w:rsidR="00000000" w:rsidDel="00000000" w:rsidP="00000000" w:rsidRDefault="00000000" w:rsidRPr="00000000" w14:paraId="00000032">
      <w:pPr>
        <w:spacing w:after="280" w:before="28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SECTION 753</w:t>
      </w:r>
    </w:p>
    <w:p w:rsidR="00000000" w:rsidDel="00000000" w:rsidP="00000000" w:rsidRDefault="00000000" w:rsidRPr="00000000" w14:paraId="00000033">
      <w:pPr>
        <w:spacing w:after="280" w:before="2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Factors to be considered concerning a previous criminal conviction; presumption</w:t>
      </w:r>
    </w:p>
    <w:p w:rsidR="00000000" w:rsidDel="00000000" w:rsidP="00000000" w:rsidRDefault="00000000" w:rsidRPr="00000000" w14:paraId="00000034">
      <w:pPr>
        <w:spacing w:after="280" w:before="28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Correction Law CHAPTER 43, ARTICLE 23-A</w:t>
      </w:r>
    </w:p>
    <w:p w:rsidR="00000000" w:rsidDel="00000000" w:rsidP="00000000" w:rsidRDefault="00000000" w:rsidRPr="00000000" w14:paraId="00000035">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753. Factors to be considered concerning a previous criminal conviction; presumption. 1. In making a determination pursuant to section seven hundred fifty-two of this chapter, the public agency or private employer shall consider the following factors:</w:t>
      </w:r>
    </w:p>
    <w:p w:rsidR="00000000" w:rsidDel="00000000" w:rsidP="00000000" w:rsidRDefault="00000000" w:rsidRPr="00000000" w14:paraId="00000036">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 The public policy of this state, as expressed in this act, to encourage the licensure and employment of persons previously convicted of one or more criminal offenses.</w:t>
      </w:r>
    </w:p>
    <w:p w:rsidR="00000000" w:rsidDel="00000000" w:rsidP="00000000" w:rsidRDefault="00000000" w:rsidRPr="00000000" w14:paraId="00000038">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(b) The specific duties and responsibilities necessarily related to the license or employment sought or held by the person. </w:t>
      </w:r>
    </w:p>
    <w:p w:rsidR="00000000" w:rsidDel="00000000" w:rsidP="00000000" w:rsidRDefault="00000000" w:rsidRPr="00000000" w14:paraId="0000003A">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 The bearing, if any, the criminal offense or offenses for which the person was previously convicted will have on his fitness or ability to perform one or more such duties or responsibilities.</w:t>
      </w:r>
    </w:p>
    <w:p w:rsidR="00000000" w:rsidDel="00000000" w:rsidP="00000000" w:rsidRDefault="00000000" w:rsidRPr="00000000" w14:paraId="0000003C">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 The time which has elapsed since the occurrence of the criminal offense or offenses.</w:t>
      </w:r>
    </w:p>
    <w:p w:rsidR="00000000" w:rsidDel="00000000" w:rsidP="00000000" w:rsidRDefault="00000000" w:rsidRPr="00000000" w14:paraId="0000003E">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(e) The age of the person at the time of occurrence of the criminal offense or offenses.</w:t>
      </w:r>
    </w:p>
    <w:p w:rsidR="00000000" w:rsidDel="00000000" w:rsidP="00000000" w:rsidRDefault="00000000" w:rsidRPr="00000000" w14:paraId="00000040">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 The seriousness of the offense or offenses.</w:t>
      </w:r>
    </w:p>
    <w:p w:rsidR="00000000" w:rsidDel="00000000" w:rsidP="00000000" w:rsidRDefault="00000000" w:rsidRPr="00000000" w14:paraId="00000042">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(g) Any information produced by the person, or produced on his behalf, in regard to his rehabilitation and good conduct.</w:t>
      </w:r>
    </w:p>
    <w:p w:rsidR="00000000" w:rsidDel="00000000" w:rsidP="00000000" w:rsidRDefault="00000000" w:rsidRPr="00000000" w14:paraId="00000044">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(h) The legitimate interest of the public agency or private employer in protecting property, and the safety and welfare of specific individuals or the general public.</w:t>
      </w:r>
    </w:p>
    <w:p w:rsidR="00000000" w:rsidDel="00000000" w:rsidP="00000000" w:rsidRDefault="00000000" w:rsidRPr="00000000" w14:paraId="00000046">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In making a determination pursuant to section seven hundred fifty-two of this chapter, the 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w:t>
      </w:r>
    </w:p>
    <w:p w:rsidR="00000000" w:rsidDel="00000000" w:rsidP="00000000" w:rsidRDefault="00000000" w:rsidRPr="00000000" w14:paraId="00000048">
      <w:pPr>
        <w:rPr>
          <w:i w:val="1"/>
          <w:iCs w:val="1"/>
        </w:rPr>
      </w:pPr>
      <w:r w:rsidDel="00000000" w:rsidR="00000000" w:rsidRPr="00000000">
        <w:rPr>
          <w:rtl w:val="0"/>
        </w:rPr>
      </w:r>
    </w:p>
    <w:p w:rsidR="00000000" w:rsidDel="00000000" w:rsidP="00000000" w:rsidRDefault="00000000" w:rsidRPr="00000000" w14:paraId="00000049">
      <w:pPr>
        <w:rPr>
          <w:i w:val="1"/>
          <w:iCs w:val="1"/>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 w:name="Century Schoolboo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FAQ for Gloversville Public Library Board Meeting July 15,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Schoolbook" w:cs="Century Schoolbook" w:eastAsia="Century Schoolbook" w:hAnsi="Century Schoolbook"/>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enturySchoolbook-regular.ttf"/><Relationship Id="rId4" Type="http://schemas.openxmlformats.org/officeDocument/2006/relationships/font" Target="fonts/CenturySchoolbook-bold.ttf"/><Relationship Id="rId5" Type="http://schemas.openxmlformats.org/officeDocument/2006/relationships/font" Target="fonts/CenturySchoolbook-italic.ttf"/><Relationship Id="rId6"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xtypNOzfFKFxfDJTS/cbxG74g==">CgMxLjA4AHIhMVRMWkV1aXdiXy1zOW15UnpwMXZ1VjJjQ3FMbHBjV2F2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